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A1702" w14:textId="77777777" w:rsidR="00B62F4A" w:rsidRPr="00B62F4A" w:rsidRDefault="00B62F4A" w:rsidP="00B62F4A">
      <w:pPr>
        <w:spacing w:after="0" w:line="240" w:lineRule="auto"/>
        <w:jc w:val="right"/>
        <w:rPr>
          <w:rFonts w:ascii="GHEA Grapalat" w:eastAsiaTheme="majorEastAsia" w:hAnsi="GHEA Grapalat" w:cs="Sylfaen"/>
          <w:b/>
          <w:bCs/>
          <w:i/>
          <w:iCs/>
          <w:szCs w:val="28"/>
          <w:u w:val="single"/>
        </w:rPr>
      </w:pPr>
      <w:bookmarkStart w:id="0" w:name="_Toc93926503"/>
      <w:bookmarkStart w:id="1" w:name="_Toc120537468"/>
      <w:bookmarkStart w:id="2" w:name="_Toc120540181"/>
      <w:bookmarkStart w:id="3" w:name="_Toc120802458"/>
      <w:bookmarkStart w:id="4" w:name="_Toc120868901"/>
      <w:r w:rsidRPr="00B62F4A">
        <w:rPr>
          <w:rFonts w:ascii="GHEA Grapalat" w:eastAsiaTheme="majorEastAsia" w:hAnsi="GHEA Grapalat" w:cs="Sylfaen"/>
          <w:b/>
          <w:bCs/>
          <w:i/>
          <w:iCs/>
          <w:szCs w:val="28"/>
          <w:u w:val="single"/>
          <w:lang w:val="hy-AM"/>
        </w:rPr>
        <w:t>Հավելված N 1</w:t>
      </w:r>
      <w:bookmarkEnd w:id="0"/>
      <w:bookmarkEnd w:id="1"/>
      <w:bookmarkEnd w:id="2"/>
      <w:bookmarkEnd w:id="3"/>
      <w:bookmarkEnd w:id="4"/>
      <w:r w:rsidRPr="00B62F4A">
        <w:rPr>
          <w:rFonts w:ascii="GHEA Grapalat" w:eastAsiaTheme="majorEastAsia" w:hAnsi="GHEA Grapalat" w:cs="Sylfaen"/>
          <w:b/>
          <w:bCs/>
          <w:i/>
          <w:iCs/>
          <w:szCs w:val="28"/>
          <w:u w:val="single"/>
        </w:rPr>
        <w:t>2</w:t>
      </w:r>
    </w:p>
    <w:p w14:paraId="6207BF55" w14:textId="77777777" w:rsidR="0011478F" w:rsidRPr="0011478F" w:rsidRDefault="0011478F" w:rsidP="0011478F">
      <w:pPr>
        <w:spacing w:after="0" w:line="240" w:lineRule="auto"/>
        <w:rPr>
          <w:rFonts w:ascii="GHEA Grapalat" w:eastAsiaTheme="minorEastAsia" w:hAnsi="GHEA Grapalat" w:cs="Times New Roman"/>
          <w:bCs/>
          <w:szCs w:val="24"/>
          <w:u w:val="single"/>
        </w:rPr>
      </w:pPr>
    </w:p>
    <w:p w14:paraId="6207BF56" w14:textId="77777777" w:rsidR="0011478F" w:rsidRPr="0011478F" w:rsidRDefault="0011478F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Cs/>
          <w:szCs w:val="24"/>
          <w:u w:val="single"/>
        </w:rPr>
      </w:pPr>
      <w:r w:rsidRPr="0011478F">
        <w:rPr>
          <w:rFonts w:ascii="GHEA Grapalat" w:eastAsiaTheme="minorEastAsia" w:hAnsi="GHEA Grapalat" w:cs="Times New Roman"/>
          <w:bCs/>
          <w:szCs w:val="24"/>
          <w:u w:val="single"/>
        </w:rPr>
        <w:t>ՄԺԾԾ ԺԱՄԱՆԱԿ</w:t>
      </w:r>
      <w:r w:rsidR="00567880">
        <w:rPr>
          <w:rFonts w:ascii="GHEA Grapalat" w:eastAsiaTheme="minorEastAsia" w:hAnsi="GHEA Grapalat" w:cs="Times New Roman"/>
          <w:bCs/>
          <w:szCs w:val="24"/>
          <w:u w:val="single"/>
          <w:lang w:val="hy-AM"/>
        </w:rPr>
        <w:t>Ա</w:t>
      </w:r>
      <w:r w:rsidRPr="0011478F">
        <w:rPr>
          <w:rFonts w:ascii="GHEA Grapalat" w:eastAsiaTheme="minorEastAsia" w:hAnsi="GHEA Grapalat" w:cs="Times New Roman"/>
          <w:bCs/>
          <w:szCs w:val="24"/>
          <w:u w:val="single"/>
        </w:rPr>
        <w:t>ՀԱՏՎԱԾՈՒՄ ՀՀ ԿԱՌԱՎԱՐՈՒԹՅԱՆ ՈԼՈՐՏԱՅԻՆ ՔԱՂԱՔԱԿԱՆՈՒԹՅՈՒՆԸ</w:t>
      </w:r>
    </w:p>
    <w:p w14:paraId="6207BF57" w14:textId="73AF6FD7" w:rsidR="0011478F" w:rsidRDefault="0011478F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bCs/>
          <w:i/>
          <w:szCs w:val="24"/>
        </w:rPr>
      </w:pPr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(</w:t>
      </w:r>
      <w:proofErr w:type="spellStart"/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հարկիրճ</w:t>
      </w:r>
      <w:proofErr w:type="spellEnd"/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 xml:space="preserve"> </w:t>
      </w:r>
      <w:proofErr w:type="spellStart"/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շարադրանք</w:t>
      </w:r>
      <w:proofErr w:type="spellEnd"/>
      <w:r w:rsidRPr="0011478F">
        <w:rPr>
          <w:rFonts w:ascii="GHEA Grapalat" w:eastAsiaTheme="minorEastAsia" w:hAnsi="GHEA Grapalat" w:cs="Times New Roman"/>
          <w:b/>
          <w:bCs/>
          <w:i/>
          <w:szCs w:val="24"/>
        </w:rPr>
        <w:t>)</w:t>
      </w:r>
      <w:r w:rsidRPr="0011478F">
        <w:rPr>
          <w:rFonts w:ascii="GHEA Grapalat" w:eastAsiaTheme="minorEastAsia" w:hAnsi="GHEA Grapalat" w:cs="Times New Roman"/>
          <w:b/>
          <w:bCs/>
          <w:i/>
          <w:szCs w:val="24"/>
          <w:vertAlign w:val="superscript"/>
        </w:rPr>
        <w:footnoteReference w:id="1"/>
      </w:r>
    </w:p>
    <w:p w14:paraId="2C627B33" w14:textId="77777777" w:rsidR="00AF5DB9" w:rsidRPr="0011478F" w:rsidRDefault="00AF5DB9" w:rsidP="00AF5DB9">
      <w:pPr>
        <w:spacing w:after="0" w:line="240" w:lineRule="auto"/>
        <w:jc w:val="center"/>
        <w:rPr>
          <w:rFonts w:ascii="GHEA Grapalat" w:eastAsiaTheme="minorEastAsia" w:hAnsi="GHEA Grapalat" w:cs="Times New Roman"/>
          <w:b/>
          <w:bCs/>
          <w:i/>
          <w:szCs w:val="24"/>
        </w:rPr>
      </w:pPr>
    </w:p>
    <w:p w14:paraId="6207BF58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ՈԼՈՐՏԸ  </w:t>
      </w:r>
    </w:p>
    <w:p w14:paraId="6207BF59" w14:textId="380EC800" w:rsidR="0011478F" w:rsidRDefault="001D094D" w:rsidP="0011478F">
      <w:pPr>
        <w:overflowPunct w:val="0"/>
        <w:autoSpaceDE w:val="0"/>
        <w:autoSpaceDN w:val="0"/>
        <w:adjustRightInd w:val="0"/>
        <w:spacing w:after="22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ՀՀ արդարադատության նախարարությունը մշակում և իրականացնում է ոլորտում կառավարության քաղաքականությունը, մասնավորապես  իրականացնում  է արդարադատության, այդ թվում՝ հարկադիր կատարման, քրեակատարողական, պրոբացիայի, սնանկության, փաստաբանության, հաշտարարության, նոտարական գործունեության, քաղաքացիական կացության ակտերի պետական գրանցման, իրավաբանական անձանց պետական գրանցման և հաշվառման, անհատ ձեռնարկատերերի հաշվառման, զանգվածային լրատվության միջոցների հաշվառման, անձնական տվյալների պաշտպանության, շարժական գույքի նկատմամբ ապահովված իրավունքների գրանցման, իրավական փորձաքննության, միջազգային իրավական փոխօգնության, հակակոռուպցիոն և պետական ծառայությունների մատուցման միասնական գրասենյակների գործունեության ոլորտներում քաղաքականության մշակումը և իրականացումը: </w:t>
      </w:r>
    </w:p>
    <w:p w14:paraId="2A1B7B06" w14:textId="68D9DC90" w:rsidR="00920809" w:rsidRPr="001D094D" w:rsidRDefault="00B62F4A" w:rsidP="0011478F">
      <w:pPr>
        <w:overflowPunct w:val="0"/>
        <w:autoSpaceDE w:val="0"/>
        <w:autoSpaceDN w:val="0"/>
        <w:adjustRightInd w:val="0"/>
        <w:spacing w:after="22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B62F4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ՄԺԾԾ  ժամանակահատվածում Արդարադատության նախարարության գործունեությունն ուղղված է լինելու Հայաստանի Հանրապետության կառավարության 2021-2026թթ. գործունեության միջոցառումների ծրագրով Արդարադատության նախարարության մասով սահմանված,  Հայաստանի Հանրապետության իրավական և դատական բարեփոխումների 2022-2026 թվականների ռազմավարությունից բխող գործողությունների ծրագրերի, 2023 թվականի հոկտեմբերի 26-ի N 1871-Լ որոշմամբ հաստատած հակակոռուպցիոն ռազմավարությունից բխող  2023-2026 թթ. գործողությունների ծրագրի, Արդարադատության նախարարի 2023 թվականի հոկտեմբերի 20-ի N 627-Լ հրամանով հաստատված Հայաստանի Հանրապետության քրեակատարողական և պրոբացիայի ոլորտի 2024-2026 թվականների գործունեության հիմնական ուղղությունների իրականացմանը:</w:t>
      </w:r>
    </w:p>
    <w:p w14:paraId="6207BF5A" w14:textId="7FD91BA7" w:rsid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ՈԼՈՐՏԱՅԻՆ ՔԱՂԱՔԱԿԱՆՈՒԹՅԱՆ ՀԻՄՆԱԿԱՆ ԹԻՐԱԽՆԵՐԸ </w:t>
      </w:r>
    </w:p>
    <w:p w14:paraId="111DADD0" w14:textId="77777777" w:rsidR="001D094D" w:rsidRPr="001D094D" w:rsidRDefault="001D094D" w:rsidP="0092080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eastAsia="x-none"/>
        </w:rPr>
      </w:pP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Վերոնշյալ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ոլորտների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շրջանակներում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նախարարությունը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առանձնացնում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է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ոլորտային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քաղաքականության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հիմնական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թիրախները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և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դրանք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արտացոլում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lastRenderedPageBreak/>
        <w:t>Կառավարության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ծրագրում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: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Մասնավորապես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`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հիմնական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թիրախային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ուղղությունները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տեղ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են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գտել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Կառավարության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միջոցառումների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ցանկում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: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Առանձնացվել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է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դատաիրավական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ոլորտը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որն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ուղղված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է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լինելու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Սահմանադրական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բարեփոխումների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անցկացմանը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դատական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իշխանության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անկախության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և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անաչառության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ամրապնդմանը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դատավորի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թեկնածուի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հավակնորդների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բարեվարքության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ստուգմանը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դատարանների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շենքերի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և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նյութատեխնիկական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պայմանների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բարելավմանը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պետական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և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տեղական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ինքնակառավարման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մարմինների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կողմից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մատուցվող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ծառայությունների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միասնական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հարթակի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ապահովմանը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սնանկության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համակարգի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արդյունավետության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բարձրացմանը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վեճերի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լուծման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այլընտրանքային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եղանակների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զարգացմանը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Էլեկտրոնային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արդարադատության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միասնական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համակարգի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ներդրմանը։Հակակոռուպցիոն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բնագավառում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իրականացվելու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են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կոռուպցիոն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հանցագործությունների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բացահայտման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մեխանիզմների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բարեփոխումներ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հանրային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իրազեկման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ծրագրերի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շարունակական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իրականացում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Հակակոռուպցիոն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և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վերաքննիչ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հակակոռուպցիոն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դատարանների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գործունության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ապահովում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։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Մարդու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իրավունքների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պաշտպանության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ոլորտում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իրականացվելու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են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մասնավորապես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`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Մարդու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իրավունքների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պաշտպանվածության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և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մարդու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ազատ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ստեղծագործելու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արժանապատիվ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երջանիկ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ապրելու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համար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նպաստավոր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պայմանների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ստեղծում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բոլորի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՝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օրենքի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առջև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հավասարության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երաշխավորում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խտրականության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դրսևորումների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կանխում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ինչպես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նաև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հավասար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իրավունքների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իրագործում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Ազգային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փոքրամասնություններին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պատկանող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անձանց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իրավունքների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առավել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արդյունավետ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պաշտպանություն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օրենսդրական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երաշխիքների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ամրագրում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,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անվճար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իրավաբանական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օգնության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տրամադրման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շրջանակների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ընդլայնում</w:t>
      </w:r>
      <w:proofErr w:type="spellEnd"/>
      <w:r w:rsidRPr="001D094D">
        <w:rPr>
          <w:rFonts w:ascii="GHEA Grapalat" w:eastAsiaTheme="minorEastAsia" w:hAnsi="GHEA Grapalat" w:cs="Times New Roman"/>
          <w:sz w:val="24"/>
          <w:szCs w:val="24"/>
          <w:lang w:eastAsia="x-none"/>
        </w:rPr>
        <w:t>:</w:t>
      </w:r>
    </w:p>
    <w:p w14:paraId="673078FA" w14:textId="54CD0FCD" w:rsidR="00B62F4A" w:rsidRPr="00B62F4A" w:rsidRDefault="00B62F4A" w:rsidP="00B62F4A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B62F4A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Քրեակատարողական և պրոբացիայի ոլորտում իրավիճակը բարելավելու, ինչպես նաև ոլորտի շարունակական զարգացումն ապահովելու համար մշակված </w:t>
      </w:r>
      <w:r w:rsidRPr="00B62F4A">
        <w:rPr>
          <w:rFonts w:ascii="GHEA Grapalat" w:eastAsiaTheme="minorEastAsia" w:hAnsi="GHEA Grapalat" w:cs="Times New Roman"/>
          <w:sz w:val="24"/>
          <w:szCs w:val="24"/>
          <w:lang w:val="sq-AL" w:eastAsia="x-none"/>
        </w:rPr>
        <w:t>Հայաստանի Հանրապետության քրեակատարողական և պրոբացիայի ոլորտի 2024-2026 թվականների գործունեության հիմնական ուղղությունների</w:t>
      </w:r>
      <w:r w:rsidRPr="00B62F4A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  նպատակը լինելու է քրեակատարողական համակարգի բարելավումը, որը ենթադրում է ազատազրկման ավանդական պատժիչ գաղափարախոսությունից անցում դեպի վերասոցիալականացման և վերականգնողական արդարադատության գաղափարախոսությանը, քրեական ենթամշակույթի դեմ պայքարը, քրեակատարողական և պրոբացիայի համակարգում կոռուպցիայի հաղթահարումը, կրկնահանցագործության նվազեցում՝ հասարակության անվտանգությունն ապահովելու նպատակով:</w:t>
      </w:r>
    </w:p>
    <w:p w14:paraId="68D64C89" w14:textId="77777777" w:rsidR="001D094D" w:rsidRPr="00B62F4A" w:rsidRDefault="001D094D" w:rsidP="00B62F4A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</w:p>
    <w:p w14:paraId="00431777" w14:textId="77777777" w:rsidR="001D094D" w:rsidRPr="001D094D" w:rsidRDefault="001D094D" w:rsidP="00B62F4A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eastAsia="x-none"/>
        </w:rPr>
      </w:pPr>
    </w:p>
    <w:p w14:paraId="6207BF5C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lastRenderedPageBreak/>
        <w:t xml:space="preserve">ՈԼՈՐՏԱՅԻՆ ԾԱԽՍԱՅԻՆ ԾՐԱԳՐԵՐԸ ԵՎ ԾԱԽՍԱՅԻՆ ԳԵՐԱԿԱՅՈՒԹՅՈՒՆՆԵՐԸ </w:t>
      </w:r>
    </w:p>
    <w:p w14:paraId="49CC2819" w14:textId="77777777" w:rsidR="00765663" w:rsidRPr="00765663" w:rsidRDefault="00765663" w:rsidP="0076566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Ոլորտային քաղաքականության թիրախների (վերջնական արդյունքների) ապահովման նպատակով ՄԺԾԾ ժամանակահատվածում հիմնական ծախսային գերակայություններն են.</w:t>
      </w:r>
    </w:p>
    <w:p w14:paraId="382B2173" w14:textId="77777777" w:rsidR="00765663" w:rsidRPr="00765663" w:rsidRDefault="00765663" w:rsidP="0076566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</w:p>
    <w:p w14:paraId="69AEF9F6" w14:textId="77777777" w:rsidR="00765663" w:rsidRPr="00765663" w:rsidRDefault="00765663" w:rsidP="0076566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1.Արդարադատության ոլորտում քաղաքականության  մշակում, ծրագրերի համակարգում, խորհրդատվության և մոնիտորինգի իրականացում, նախարարության գործունեության արդյունավետության, նպատակաուղղվաության և բարձրացման, հանրությանը մատուցվող ծառայութունները բնակչության համար ավելի մատչելի դարձնելու նպատակով իրականացվող բարեփոխումներ</w:t>
      </w:r>
    </w:p>
    <w:p w14:paraId="78B8539E" w14:textId="7840DFF2" w:rsidR="00765663" w:rsidRPr="00765663" w:rsidRDefault="00765663" w:rsidP="0076566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2.Քրեակատարողական համակարգի կատարելագործում, քրեակատարողական հիմնարկների օպտիմալացում և արդիականացում, արտաքին աշխարհի հետ կապի ամրապնդման, պահման պայմանների բարելավման ապահովում</w:t>
      </w:r>
    </w:p>
    <w:p w14:paraId="0F705864" w14:textId="78CFC6D8" w:rsidR="00765663" w:rsidRPr="00765663" w:rsidRDefault="00765663" w:rsidP="00920809">
      <w:pPr>
        <w:spacing w:after="0"/>
        <w:ind w:left="709" w:firstLine="11"/>
        <w:jc w:val="both"/>
        <w:rPr>
          <w:rFonts w:ascii="GHEA Grapalat" w:eastAsia="GHEA Grapalat" w:hAnsi="GHEA Grapalat" w:cs="GHEA Grapalat"/>
          <w:lang w:val="hy-AM"/>
        </w:rPr>
      </w:pP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3.</w:t>
      </w:r>
      <w:r w:rsidRPr="00765663">
        <w:rPr>
          <w:lang w:val="hy-AM"/>
        </w:rPr>
        <w:t xml:space="preserve"> </w:t>
      </w: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Հակակոռուպցիոն քաղաքականության մշակում,ծրագրերի համակարգում և մոնիտորինգի իրականացում</w:t>
      </w:r>
    </w:p>
    <w:p w14:paraId="304AF5FA" w14:textId="1B3305C0" w:rsidR="00765663" w:rsidRPr="00765663" w:rsidRDefault="00765663" w:rsidP="0092080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4. Պրոբացիայի ծառայության գործունեության արդյունավետության բարձրացում</w:t>
      </w:r>
    </w:p>
    <w:p w14:paraId="237746DC" w14:textId="5548663D" w:rsidR="00765663" w:rsidRPr="00626F2D" w:rsidRDefault="00765663" w:rsidP="0076566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5. Հարկադիր կատարման համակարգի բարեփոխումներ</w:t>
      </w:r>
      <w:r w:rsidR="00626F2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, </w:t>
      </w:r>
      <w:r w:rsidR="00626F2D" w:rsidRPr="00626F2D">
        <w:rPr>
          <w:rFonts w:ascii="GHEA Grapalat" w:eastAsia="GHEA Grapalat" w:hAnsi="GHEA Grapalat" w:cs="GHEA Grapalat"/>
          <w:sz w:val="24"/>
          <w:szCs w:val="24"/>
          <w:lang w:val="hy-AM"/>
        </w:rPr>
        <w:t>կատարողական վարույթի արդյունավետության բարձրացում, առկա խնդիրները վերացնելու անհրաժեշտություն,</w:t>
      </w:r>
      <w:r w:rsidR="00626F2D" w:rsidRPr="00626F2D">
        <w:rPr>
          <w:sz w:val="24"/>
          <w:szCs w:val="24"/>
          <w:lang w:val="hy-AM"/>
        </w:rPr>
        <w:t xml:space="preserve"> </w:t>
      </w:r>
      <w:r w:rsidR="00626F2D" w:rsidRPr="00626F2D">
        <w:rPr>
          <w:rFonts w:ascii="GHEA Grapalat" w:eastAsia="GHEA Grapalat" w:hAnsi="GHEA Grapalat" w:cs="GHEA Grapalat"/>
          <w:sz w:val="24"/>
          <w:szCs w:val="24"/>
          <w:lang w:val="hy-AM"/>
        </w:rPr>
        <w:t>դատական պաշտպանության իրավունքի անբաժանելի մաս հանդիսացող՝ դատական ակտերի կատարման իրավունքի, ինչպես նաև հարկադիր կատարման ենթակա այլ ակտերի հարկադիր կատարման կենսագործում</w:t>
      </w:r>
    </w:p>
    <w:p w14:paraId="5B34C5F2" w14:textId="5946BCD7" w:rsidR="00765663" w:rsidRDefault="00765663" w:rsidP="0076566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6.Քրեակատարողական հիմնարկներում պահվող ազատազրկվածներին բժշկական ծառայությամբ ապահովում, տրամադրվող բժշկական օգնության և սպասարկման որակի բարձրացում</w:t>
      </w:r>
    </w:p>
    <w:p w14:paraId="2D3C2B10" w14:textId="560C33B8" w:rsidR="00920809" w:rsidRPr="00920809" w:rsidRDefault="00920809" w:rsidP="00920809">
      <w:pPr>
        <w:ind w:left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920809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7․</w:t>
      </w:r>
      <w:r w:rsidRPr="0092080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Դատական և հանրային պաշտպանություն՝ անձանց իրավաբանական օգնություն ստանալու սահմանադրական իրավունքի տեսանկյունից առանցքային է հանրային պաշտպանության ինստիտուտի դերն ու նշանակությունը:</w:t>
      </w:r>
      <w:r w:rsidR="00B62F4A" w:rsidRPr="00B62F4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920809">
        <w:rPr>
          <w:rFonts w:ascii="GHEA Grapalat" w:eastAsia="GHEA Grapalat" w:hAnsi="GHEA Grapalat" w:cs="GHEA Grapalat"/>
          <w:sz w:val="24"/>
          <w:szCs w:val="24"/>
          <w:lang w:val="hy-AM"/>
        </w:rPr>
        <w:t>Միևնույն ժամանակ, անհրաժեշտ է ապահովել ՀՀ դատարանների որոշումների հիման վրա դատական փորձաքննությունների կատարումը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  <w:r w:rsidRPr="00920809"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</w:p>
    <w:p w14:paraId="6207BF5D" w14:textId="00143D10" w:rsidR="0011478F" w:rsidRPr="001D094D" w:rsidRDefault="00F62A70" w:rsidP="00765663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lastRenderedPageBreak/>
        <w:t>Ո</w:t>
      </w:r>
      <w:r w:rsidR="0011478F"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լորտային քաղաքականության թիրախների (վերջնական արդյունքների) ապահովման նպատակով ՄԺԾԾ ժամանակահատվածում </w:t>
      </w:r>
      <w:r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Հայաստանի Հանրապետության արդարադատության նախարարության կողմից </w:t>
      </w:r>
      <w:r w:rsidR="0011478F"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իրական</w:t>
      </w:r>
      <w:r w:rsidR="00567880"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ա</w:t>
      </w:r>
      <w:r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ցվելու են հետևյալ</w:t>
      </w:r>
      <w:r w:rsidR="0011478F" w:rsidRPr="00765663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 հիմնական ծրագրերը</w:t>
      </w:r>
    </w:p>
    <w:p w14:paraId="52B2AA3E" w14:textId="46F74613" w:rsidR="00F62A70" w:rsidRPr="001D094D" w:rsidRDefault="00F62A70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>-</w:t>
      </w: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ab/>
        <w:t xml:space="preserve">«Քաղաքացիական կացության ակտերի գրանցում» </w:t>
      </w:r>
    </w:p>
    <w:p w14:paraId="6A6F0B1D" w14:textId="17483174" w:rsidR="00F62A70" w:rsidRPr="001D094D" w:rsidRDefault="00F62A70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>-</w:t>
      </w: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ab/>
        <w:t>«Արդարադատության ոլորտում քաղաքականության  մշակում, ծրագրերի համակարգում, խորհրդատվության և մոնիտորինգի իրականացում</w:t>
      </w:r>
    </w:p>
    <w:p w14:paraId="53BE02BB" w14:textId="73B59F53" w:rsidR="00F62A70" w:rsidRPr="001D094D" w:rsidRDefault="00F62A70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>-</w:t>
      </w: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ab/>
        <w:t xml:space="preserve">«Դատական և հանրային պաշտպանություն» </w:t>
      </w:r>
    </w:p>
    <w:p w14:paraId="39CCBE01" w14:textId="529CC70B" w:rsidR="001D094D" w:rsidRPr="001D094D" w:rsidRDefault="001D094D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>-</w:t>
      </w: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ab/>
        <w:t xml:space="preserve">«Քրեակատարողական ծառայություններ» </w:t>
      </w:r>
    </w:p>
    <w:p w14:paraId="6D508760" w14:textId="0A914D32" w:rsidR="00F62A70" w:rsidRPr="001D094D" w:rsidRDefault="00F62A70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>-</w:t>
      </w: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ab/>
        <w:t xml:space="preserve">«Իրավական իրազեկում և տեղեկատվության ապահովում» </w:t>
      </w:r>
    </w:p>
    <w:p w14:paraId="07B6F8C1" w14:textId="034B3356" w:rsidR="00F62A70" w:rsidRPr="001D094D" w:rsidRDefault="00F62A70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>-</w:t>
      </w: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ab/>
        <w:t xml:space="preserve">«Արդարադատության համակարգի աշխատակիցների վերապատրաստում և հատուկ ուսուցում» </w:t>
      </w:r>
    </w:p>
    <w:p w14:paraId="5DE7D50C" w14:textId="76FD183F" w:rsidR="00F62A70" w:rsidRPr="001D094D" w:rsidRDefault="00F62A70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>-</w:t>
      </w: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ab/>
        <w:t xml:space="preserve">«Հարկադիր կատարման ծառայություններ» </w:t>
      </w:r>
    </w:p>
    <w:p w14:paraId="6207BF5E" w14:textId="3831E722" w:rsidR="00B8641E" w:rsidRDefault="00F62A70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/>
          <w:sz w:val="24"/>
          <w:szCs w:val="24"/>
          <w:lang w:val="hy-AM" w:eastAsia="x-none"/>
        </w:rPr>
        <w:t xml:space="preserve"> </w:t>
      </w:r>
    </w:p>
    <w:p w14:paraId="176CBE70" w14:textId="77777777" w:rsidR="001D094D" w:rsidRPr="001D094D" w:rsidRDefault="001D094D" w:rsidP="001D094D">
      <w:pPr>
        <w:pStyle w:val="Text"/>
        <w:spacing w:after="0"/>
        <w:ind w:left="709"/>
        <w:rPr>
          <w:rFonts w:ascii="GHEA Grapalat" w:eastAsiaTheme="minorEastAsia" w:hAnsi="GHEA Grapalat"/>
          <w:sz w:val="24"/>
          <w:szCs w:val="24"/>
          <w:lang w:val="hy-AM" w:eastAsia="x-none"/>
        </w:rPr>
      </w:pPr>
    </w:p>
    <w:p w14:paraId="6207BF62" w14:textId="77777777" w:rsidR="0011478F" w:rsidRPr="0011478F" w:rsidRDefault="0011478F" w:rsidP="0011478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GHEA Grapalat" w:eastAsiaTheme="minorEastAsia" w:hAnsi="GHEA Grapalat" w:cs="Times New Roman"/>
          <w:b/>
          <w:szCs w:val="20"/>
          <w:lang w:eastAsia="x-none"/>
        </w:rPr>
      </w:pPr>
      <w:r w:rsidRPr="0011478F">
        <w:rPr>
          <w:rFonts w:ascii="GHEA Grapalat" w:eastAsiaTheme="minorEastAsia" w:hAnsi="GHEA Grapalat" w:cs="Times New Roman"/>
          <w:b/>
          <w:szCs w:val="20"/>
          <w:lang w:eastAsia="x-none"/>
        </w:rPr>
        <w:t xml:space="preserve">ՈԼՈՐՏԱՅԻՆ ԾԱԽՍԵՐԻ ԳՆԱՀԱՏԱԿԱՆԸ </w:t>
      </w:r>
    </w:p>
    <w:p w14:paraId="6207BF63" w14:textId="5E81D406" w:rsidR="0011478F" w:rsidRPr="001D094D" w:rsidRDefault="001D094D" w:rsidP="0011478F">
      <w:pPr>
        <w:overflowPunct w:val="0"/>
        <w:autoSpaceDE w:val="0"/>
        <w:autoSpaceDN w:val="0"/>
        <w:adjustRightInd w:val="0"/>
        <w:spacing w:after="22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</w:pPr>
      <w:r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Ո</w:t>
      </w:r>
      <w:r w:rsidR="0011478F"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լորտային քաղաքականության թիրախների ապահովման նպատակով ՄԺԾԾ ժամանակահատվածում </w:t>
      </w:r>
      <w:r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Արդարադատության նախարարության </w:t>
      </w:r>
      <w:r w:rsidR="0011478F"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կողմից իրական</w:t>
      </w:r>
      <w:r w:rsidR="00567880"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ա</w:t>
      </w:r>
      <w:r w:rsidR="0011478F"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>ցվող ընդհանուր ծախսերը (հայտերով ներկայացված)՝ բացված ըստ հիմնական ծրագրերի և ուղղությունների:</w:t>
      </w:r>
      <w:r w:rsidRPr="001D094D">
        <w:rPr>
          <w:rFonts w:ascii="GHEA Grapalat" w:eastAsiaTheme="minorEastAsia" w:hAnsi="GHEA Grapalat" w:cs="Times New Roman"/>
          <w:sz w:val="24"/>
          <w:szCs w:val="24"/>
          <w:lang w:val="hy-AM" w:eastAsia="x-none"/>
        </w:rPr>
        <w:t xml:space="preserve"> ներկայացված է ստորև․</w:t>
      </w:r>
    </w:p>
    <w:tbl>
      <w:tblPr>
        <w:tblW w:w="14256" w:type="dxa"/>
        <w:tblInd w:w="279" w:type="dxa"/>
        <w:tblLook w:val="04A0" w:firstRow="1" w:lastRow="0" w:firstColumn="1" w:lastColumn="0" w:noHBand="0" w:noVBand="1"/>
      </w:tblPr>
      <w:tblGrid>
        <w:gridCol w:w="1530"/>
        <w:gridCol w:w="5049"/>
        <w:gridCol w:w="2798"/>
        <w:gridCol w:w="4879"/>
      </w:tblGrid>
      <w:tr w:rsidR="001D094D" w:rsidRPr="00B62F4A" w14:paraId="56373D5D" w14:textId="77777777" w:rsidTr="00765663">
        <w:trPr>
          <w:gridAfter w:val="1"/>
          <w:wAfter w:w="4879" w:type="dxa"/>
          <w:trHeight w:val="7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313E496" w14:textId="77777777" w:rsidR="001D094D" w:rsidRPr="001D094D" w:rsidRDefault="001D094D" w:rsidP="001D094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Ծրագրային դասիչը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350B09" w14:textId="77777777" w:rsidR="001D094D" w:rsidRPr="001D094D" w:rsidRDefault="001D094D" w:rsidP="001D094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Ծրագրի/ Միջոցառման/ կատարող հանդիսացող պետական մարմնի անվանումը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16F5291F" w14:textId="1211C410" w:rsidR="001D094D" w:rsidRPr="001D094D" w:rsidRDefault="001D094D" w:rsidP="001D094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թ. բյուջե գումարը (հազար դրամ)</w:t>
            </w:r>
          </w:p>
        </w:tc>
      </w:tr>
      <w:tr w:rsidR="00765663" w:rsidRPr="001D094D" w14:paraId="412ADEEE" w14:textId="77777777" w:rsidTr="00F50DB4">
        <w:trPr>
          <w:trHeight w:val="9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EDFB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DD0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A143" w14:textId="6C17E099" w:rsidR="00B62F4A" w:rsidRPr="00B62F4A" w:rsidRDefault="00B62F4A" w:rsidP="00B62F4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2F4A">
              <w:rPr>
                <w:rFonts w:ascii="GHEA Grapalat" w:hAnsi="GHEA Grapalat"/>
                <w:sz w:val="24"/>
                <w:szCs w:val="24"/>
              </w:rPr>
              <w:t>35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283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075.50</w:t>
            </w:r>
          </w:p>
          <w:p w14:paraId="6A408C27" w14:textId="525BFDE8" w:rsidR="00765663" w:rsidRPr="001D094D" w:rsidRDefault="00765663" w:rsidP="007656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79" w:type="dxa"/>
            <w:vAlign w:val="center"/>
          </w:tcPr>
          <w:p w14:paraId="494D9A72" w14:textId="77777777" w:rsidR="00765663" w:rsidRPr="001D094D" w:rsidRDefault="00765663" w:rsidP="007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765663" w:rsidRPr="001D094D" w14:paraId="06462016" w14:textId="77777777" w:rsidTr="00F50DB4">
        <w:trPr>
          <w:trHeight w:val="9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304C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1057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934D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F621" w14:textId="45F32BF6" w:rsidR="00B62F4A" w:rsidRPr="00B62F4A" w:rsidRDefault="00B62F4A" w:rsidP="00B62F4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2F4A">
              <w:rPr>
                <w:rFonts w:ascii="GHEA Grapalat" w:hAnsi="GHEA Grapalat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407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170.80</w:t>
            </w:r>
          </w:p>
          <w:p w14:paraId="6A53B395" w14:textId="7A916250" w:rsidR="00765663" w:rsidRPr="001D094D" w:rsidRDefault="00765663" w:rsidP="007656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79" w:type="dxa"/>
            <w:vAlign w:val="center"/>
            <w:hideMark/>
          </w:tcPr>
          <w:p w14:paraId="281D4754" w14:textId="77777777" w:rsidR="00765663" w:rsidRPr="001D094D" w:rsidRDefault="00765663" w:rsidP="007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765663" w:rsidRPr="001D094D" w14:paraId="416A9A4E" w14:textId="77777777" w:rsidTr="00F50DB4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92CE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1052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C61F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Քաղաքացիական կացության ակտերի գրանցում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480C" w14:textId="4027A57A" w:rsidR="00B62F4A" w:rsidRPr="00B62F4A" w:rsidRDefault="00B62F4A" w:rsidP="00B62F4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2F4A">
              <w:rPr>
                <w:rFonts w:ascii="GHEA Grapalat" w:hAnsi="GHEA Grapalat"/>
                <w:sz w:val="24"/>
                <w:szCs w:val="24"/>
              </w:rPr>
              <w:t>234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649.8</w:t>
            </w:r>
          </w:p>
          <w:p w14:paraId="536A7292" w14:textId="1F0B2E0E" w:rsidR="00765663" w:rsidRPr="001D094D" w:rsidRDefault="00765663" w:rsidP="007656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79" w:type="dxa"/>
            <w:vAlign w:val="center"/>
            <w:hideMark/>
          </w:tcPr>
          <w:p w14:paraId="35BA26AD" w14:textId="77777777" w:rsidR="00765663" w:rsidRPr="001D094D" w:rsidRDefault="00765663" w:rsidP="007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765663" w:rsidRPr="001D094D" w14:paraId="27CE75ED" w14:textId="77777777" w:rsidTr="00F50DB4">
        <w:trPr>
          <w:trHeight w:val="9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8BE9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1093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40DD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Դատական և հանրային պաշտպանություն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C679" w14:textId="5F4F9039" w:rsidR="00B62F4A" w:rsidRPr="00B62F4A" w:rsidRDefault="00B62F4A" w:rsidP="00B62F4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2F4A">
              <w:rPr>
                <w:rFonts w:ascii="GHEA Grapalat" w:hAnsi="GHEA Grapalat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476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746.00</w:t>
            </w:r>
          </w:p>
          <w:p w14:paraId="25D7223F" w14:textId="47FE3CAA" w:rsidR="00765663" w:rsidRPr="001D094D" w:rsidRDefault="00765663" w:rsidP="007656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79" w:type="dxa"/>
            <w:vAlign w:val="center"/>
            <w:hideMark/>
          </w:tcPr>
          <w:p w14:paraId="49499B0F" w14:textId="77777777" w:rsidR="00765663" w:rsidRPr="001D094D" w:rsidRDefault="00765663" w:rsidP="007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765663" w:rsidRPr="001D094D" w14:paraId="71086A7B" w14:textId="77777777" w:rsidTr="00F50DB4">
        <w:trPr>
          <w:trHeight w:val="9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D905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5914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Քրեակատարողական ծառայություններ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67B5" w14:textId="706A9C32" w:rsidR="00B62F4A" w:rsidRPr="00B62F4A" w:rsidRDefault="00B62F4A" w:rsidP="00B62F4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2F4A">
              <w:rPr>
                <w:rFonts w:ascii="GHEA Grapalat" w:hAnsi="GHEA Grapalat"/>
                <w:sz w:val="24"/>
                <w:szCs w:val="24"/>
              </w:rPr>
              <w:t>23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009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063.47</w:t>
            </w:r>
          </w:p>
          <w:p w14:paraId="23EE19F3" w14:textId="2A2A764D" w:rsidR="00765663" w:rsidRPr="001D094D" w:rsidRDefault="00765663" w:rsidP="007656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79" w:type="dxa"/>
            <w:vAlign w:val="center"/>
            <w:hideMark/>
          </w:tcPr>
          <w:p w14:paraId="00665646" w14:textId="77777777" w:rsidR="00765663" w:rsidRPr="001D094D" w:rsidRDefault="00765663" w:rsidP="007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765663" w:rsidRPr="001D094D" w14:paraId="388A7755" w14:textId="77777777" w:rsidTr="00F50DB4">
        <w:trPr>
          <w:trHeight w:val="9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F395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1123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8FF2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Իրավական իրազեկում և տեղեկատվության ապահովում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482E" w14:textId="4A4873EF" w:rsidR="00B62F4A" w:rsidRPr="00B62F4A" w:rsidRDefault="00B62F4A" w:rsidP="00B62F4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2F4A"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759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800.40</w:t>
            </w:r>
          </w:p>
          <w:p w14:paraId="2AC8F149" w14:textId="4CCDF41F" w:rsidR="00765663" w:rsidRPr="001D094D" w:rsidRDefault="00765663" w:rsidP="007656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79" w:type="dxa"/>
            <w:vAlign w:val="center"/>
            <w:hideMark/>
          </w:tcPr>
          <w:p w14:paraId="79DD4419" w14:textId="77777777" w:rsidR="00765663" w:rsidRPr="001D094D" w:rsidRDefault="00765663" w:rsidP="007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765663" w:rsidRPr="001D094D" w14:paraId="7229DB79" w14:textId="77777777" w:rsidTr="00F50DB4">
        <w:trPr>
          <w:trHeight w:val="93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659E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1149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6365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Արդարադատության համակարգի աշխատակիցների վերապատրաստում և հատուկ ուսուցում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E78D" w14:textId="78BEB9FD" w:rsidR="00B62F4A" w:rsidRPr="00B62F4A" w:rsidRDefault="00B62F4A" w:rsidP="00B62F4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2F4A">
              <w:rPr>
                <w:rFonts w:ascii="GHEA Grapalat" w:hAnsi="GHEA Grapalat"/>
                <w:sz w:val="24"/>
                <w:szCs w:val="24"/>
              </w:rPr>
              <w:t>653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009.30</w:t>
            </w:r>
          </w:p>
          <w:p w14:paraId="286C036B" w14:textId="279AA8AA" w:rsidR="00765663" w:rsidRPr="001D094D" w:rsidRDefault="00765663" w:rsidP="007656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79" w:type="dxa"/>
            <w:vAlign w:val="center"/>
            <w:hideMark/>
          </w:tcPr>
          <w:p w14:paraId="52CBDEA9" w14:textId="77777777" w:rsidR="00765663" w:rsidRPr="001D094D" w:rsidRDefault="00765663" w:rsidP="007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  <w:bookmarkStart w:id="5" w:name="_GoBack"/>
            <w:bookmarkEnd w:id="5"/>
          </w:p>
        </w:tc>
      </w:tr>
      <w:tr w:rsidR="00765663" w:rsidRPr="001D094D" w14:paraId="2FED5EC3" w14:textId="77777777" w:rsidTr="00F50DB4">
        <w:trPr>
          <w:trHeight w:val="51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A83E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1182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32F6" w14:textId="77777777" w:rsidR="00765663" w:rsidRPr="001D094D" w:rsidRDefault="00765663" w:rsidP="00765663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1D094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Հարկադիր կատարման ծառայություններ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4511" w14:textId="48EFEBDA" w:rsidR="00B62F4A" w:rsidRPr="00B62F4A" w:rsidRDefault="00B62F4A" w:rsidP="00B62F4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62F4A">
              <w:rPr>
                <w:rFonts w:ascii="GHEA Grapalat" w:hAnsi="GHEA Grapalat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742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B62F4A">
              <w:rPr>
                <w:rFonts w:ascii="GHEA Grapalat" w:hAnsi="GHEA Grapalat"/>
                <w:sz w:val="24"/>
                <w:szCs w:val="24"/>
              </w:rPr>
              <w:t>635.73</w:t>
            </w:r>
          </w:p>
          <w:p w14:paraId="1343B214" w14:textId="59C9F1D4" w:rsidR="00765663" w:rsidRPr="001D094D" w:rsidRDefault="00765663" w:rsidP="0076566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879" w:type="dxa"/>
            <w:vAlign w:val="center"/>
            <w:hideMark/>
          </w:tcPr>
          <w:p w14:paraId="27137146" w14:textId="77777777" w:rsidR="00765663" w:rsidRPr="001D094D" w:rsidRDefault="00765663" w:rsidP="007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</w:tbl>
    <w:p w14:paraId="35AFC48B" w14:textId="77777777" w:rsidR="001D094D" w:rsidRPr="001D094D" w:rsidRDefault="001D094D" w:rsidP="0011478F">
      <w:pPr>
        <w:overflowPunct w:val="0"/>
        <w:autoSpaceDE w:val="0"/>
        <w:autoSpaceDN w:val="0"/>
        <w:adjustRightInd w:val="0"/>
        <w:spacing w:after="220" w:line="240" w:lineRule="auto"/>
        <w:ind w:left="720"/>
        <w:jc w:val="both"/>
        <w:textAlignment w:val="baseline"/>
        <w:rPr>
          <w:rFonts w:ascii="GHEA Grapalat" w:eastAsiaTheme="minorEastAsia" w:hAnsi="GHEA Grapalat" w:cs="Times New Roman"/>
          <w:i/>
          <w:szCs w:val="20"/>
          <w:lang w:val="hy-AM" w:eastAsia="x-none"/>
        </w:rPr>
      </w:pPr>
    </w:p>
    <w:sectPr w:rsidR="001D094D" w:rsidRPr="001D094D" w:rsidSect="00F62A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BE09" w14:textId="77777777" w:rsidR="00703404" w:rsidRDefault="00703404" w:rsidP="0011478F">
      <w:pPr>
        <w:spacing w:after="0" w:line="240" w:lineRule="auto"/>
      </w:pPr>
      <w:r>
        <w:separator/>
      </w:r>
    </w:p>
  </w:endnote>
  <w:endnote w:type="continuationSeparator" w:id="0">
    <w:p w14:paraId="340AB19A" w14:textId="77777777" w:rsidR="00703404" w:rsidRDefault="00703404" w:rsidP="0011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2952E" w14:textId="77777777" w:rsidR="00703404" w:rsidRDefault="00703404" w:rsidP="0011478F">
      <w:pPr>
        <w:spacing w:after="0" w:line="240" w:lineRule="auto"/>
      </w:pPr>
      <w:r>
        <w:separator/>
      </w:r>
    </w:p>
  </w:footnote>
  <w:footnote w:type="continuationSeparator" w:id="0">
    <w:p w14:paraId="04BFA0D6" w14:textId="77777777" w:rsidR="00703404" w:rsidRDefault="00703404" w:rsidP="0011478F">
      <w:pPr>
        <w:spacing w:after="0" w:line="240" w:lineRule="auto"/>
      </w:pPr>
      <w:r>
        <w:continuationSeparator/>
      </w:r>
    </w:p>
  </w:footnote>
  <w:footnote w:id="1">
    <w:p w14:paraId="6207BF68" w14:textId="5F0AE2D5" w:rsidR="0011478F" w:rsidRPr="000D0448" w:rsidRDefault="0011478F" w:rsidP="0011478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1FB4" w14:textId="51870D35" w:rsidR="00A107F3" w:rsidRPr="00810FFA" w:rsidRDefault="00A107F3" w:rsidP="00A107F3">
    <w:pPr>
      <w:pStyle w:val="Header"/>
      <w:rPr>
        <w:rFonts w:ascii="GHEA Grapalat" w:hAnsi="GHEA Grapalat"/>
        <w:i/>
        <w:iCs/>
        <w:sz w:val="18"/>
        <w:szCs w:val="18"/>
        <w:lang w:val="hy-AM"/>
      </w:rPr>
    </w:pPr>
  </w:p>
  <w:p w14:paraId="384FDC92" w14:textId="77777777" w:rsidR="00A107F3" w:rsidRPr="00A107F3" w:rsidRDefault="00A107F3" w:rsidP="00A10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D4C3D"/>
    <w:multiLevelType w:val="hybridMultilevel"/>
    <w:tmpl w:val="FC144A1E"/>
    <w:lvl w:ilvl="0" w:tplc="AF9C7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wMzUwNzU2NjIFspV0lIJTi4sz8/NACoxqASoBiwMsAAAA"/>
  </w:docVars>
  <w:rsids>
    <w:rsidRoot w:val="0011478F"/>
    <w:rsid w:val="00054601"/>
    <w:rsid w:val="0006483A"/>
    <w:rsid w:val="0011478F"/>
    <w:rsid w:val="00185991"/>
    <w:rsid w:val="001D094D"/>
    <w:rsid w:val="002112FB"/>
    <w:rsid w:val="00211650"/>
    <w:rsid w:val="002D54A2"/>
    <w:rsid w:val="00567880"/>
    <w:rsid w:val="00626F2D"/>
    <w:rsid w:val="00662B90"/>
    <w:rsid w:val="00703404"/>
    <w:rsid w:val="00765663"/>
    <w:rsid w:val="00810FFA"/>
    <w:rsid w:val="008277DD"/>
    <w:rsid w:val="008E3F17"/>
    <w:rsid w:val="00920809"/>
    <w:rsid w:val="00A107F3"/>
    <w:rsid w:val="00A97AD4"/>
    <w:rsid w:val="00AF5DB9"/>
    <w:rsid w:val="00B62F4A"/>
    <w:rsid w:val="00B809DF"/>
    <w:rsid w:val="00B8641E"/>
    <w:rsid w:val="00C4278C"/>
    <w:rsid w:val="00EA73D4"/>
    <w:rsid w:val="00F62A70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BF54"/>
  <w15:docId w15:val="{EAD1D383-12E8-4CBF-B2B8-75A3F5DE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14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78F"/>
    <w:rPr>
      <w:sz w:val="20"/>
      <w:szCs w:val="20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11478F"/>
    <w:rPr>
      <w:vertAlign w:val="superscript"/>
    </w:rPr>
  </w:style>
  <w:style w:type="paragraph" w:customStyle="1" w:styleId="Text">
    <w:name w:val="Text"/>
    <w:basedOn w:val="Normal"/>
    <w:rsid w:val="00B8641E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F3"/>
  </w:style>
  <w:style w:type="paragraph" w:styleId="Footer">
    <w:name w:val="footer"/>
    <w:basedOn w:val="Normal"/>
    <w:link w:val="FooterChar"/>
    <w:uiPriority w:val="99"/>
    <w:unhideWhenUsed/>
    <w:rsid w:val="00A1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Harosyan</dc:creator>
  <cp:lastModifiedBy>Zara Margaryan</cp:lastModifiedBy>
  <cp:revision>3</cp:revision>
  <dcterms:created xsi:type="dcterms:W3CDTF">2024-03-19T12:35:00Z</dcterms:created>
  <dcterms:modified xsi:type="dcterms:W3CDTF">2024-03-19T12:43:00Z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92b568ccaf2c0731023823eb345e1ac98005ba7361e02b4dd14ab1b9bd62667c</vt:lpwstr>
  </property>
</Properties>
</file>